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4623" w14:textId="29327413" w:rsidR="00700D58" w:rsidRPr="00713BC9" w:rsidRDefault="00F9003C" w:rsidP="00987848">
      <w:pPr>
        <w:pStyle w:val="NoSpacing"/>
        <w:rPr>
          <w:rFonts w:ascii="Times New Roman" w:hAnsi="Times New Roman" w:cs="Times New Roman"/>
          <w:b/>
          <w:bCs/>
          <w:sz w:val="28"/>
          <w:szCs w:val="28"/>
        </w:rPr>
      </w:pPr>
      <w:r w:rsidRPr="00713BC9">
        <w:rPr>
          <w:rFonts w:ascii="Times New Roman" w:hAnsi="Times New Roman" w:cs="Times New Roman"/>
          <w:b/>
          <w:bCs/>
          <w:sz w:val="28"/>
          <w:szCs w:val="28"/>
        </w:rPr>
        <w:t>Methodology</w:t>
      </w:r>
    </w:p>
    <w:p w14:paraId="02409199" w14:textId="77777777" w:rsidR="00F9003C" w:rsidRPr="00F9003C" w:rsidRDefault="00F9003C" w:rsidP="00987848">
      <w:pPr>
        <w:pStyle w:val="NoSpacing"/>
        <w:rPr>
          <w:rFonts w:ascii="Times New Roman" w:hAnsi="Times New Roman" w:cs="Times New Roman"/>
        </w:rPr>
      </w:pPr>
    </w:p>
    <w:p w14:paraId="77A20A03" w14:textId="7279FBF5" w:rsidR="00F9003C" w:rsidRDefault="00F9003C" w:rsidP="00F9003C">
      <w:pPr>
        <w:pStyle w:val="NoSpacing"/>
        <w:rPr>
          <w:rFonts w:ascii="Times New Roman" w:hAnsi="Times New Roman" w:cs="Times New Roman"/>
        </w:rPr>
      </w:pPr>
      <w:r>
        <w:rPr>
          <w:rFonts w:ascii="Times New Roman" w:hAnsi="Times New Roman" w:cs="Times New Roman"/>
        </w:rPr>
        <w:t>Compliance</w:t>
      </w:r>
      <w:r w:rsidRPr="00F9003C">
        <w:rPr>
          <w:rFonts w:ascii="Times New Roman" w:hAnsi="Times New Roman" w:cs="Times New Roman"/>
        </w:rPr>
        <w:t xml:space="preserve"> with state public record laws was measured through an FOI audit, where the same seven records were requested from state-level agencies in the United States, and then the compliance recorded. Then, three state transparency measures (dependent variables) were compared to measures representing state newspaper vitality</w:t>
      </w:r>
      <w:r w:rsidRPr="000D668A">
        <w:rPr>
          <w:rFonts w:ascii="Times New Roman" w:hAnsi="Times New Roman" w:cs="Times New Roman"/>
        </w:rPr>
        <w:t xml:space="preserve"> (independent variables).</w:t>
      </w:r>
    </w:p>
    <w:p w14:paraId="218950B8" w14:textId="77777777" w:rsidR="00613816" w:rsidRPr="000D668A" w:rsidRDefault="00613816" w:rsidP="00F9003C">
      <w:pPr>
        <w:pStyle w:val="NoSpacing"/>
        <w:rPr>
          <w:rFonts w:ascii="Times New Roman" w:hAnsi="Times New Roman" w:cs="Times New Roman"/>
        </w:rPr>
      </w:pPr>
    </w:p>
    <w:p w14:paraId="1E671525" w14:textId="3AF288AC" w:rsidR="00F9003C" w:rsidRPr="000D668A" w:rsidRDefault="00F9003C" w:rsidP="00F9003C">
      <w:pPr>
        <w:pStyle w:val="NoSpacing"/>
        <w:rPr>
          <w:rFonts w:ascii="Times New Roman" w:hAnsi="Times New Roman" w:cs="Times New Roman"/>
          <w:b/>
          <w:bCs/>
        </w:rPr>
      </w:pPr>
      <w:r w:rsidRPr="000D668A">
        <w:rPr>
          <w:rFonts w:ascii="Times New Roman" w:hAnsi="Times New Roman" w:cs="Times New Roman"/>
          <w:b/>
          <w:bCs/>
        </w:rPr>
        <w:t>Transparency Variables (</w:t>
      </w:r>
      <w:r w:rsidR="00A46B4B">
        <w:rPr>
          <w:rFonts w:ascii="Times New Roman" w:hAnsi="Times New Roman" w:cs="Times New Roman"/>
          <w:b/>
          <w:bCs/>
        </w:rPr>
        <w:t>Compliance with the law</w:t>
      </w:r>
      <w:r w:rsidRPr="000D668A">
        <w:rPr>
          <w:rFonts w:ascii="Times New Roman" w:hAnsi="Times New Roman" w:cs="Times New Roman"/>
          <w:b/>
          <w:bCs/>
        </w:rPr>
        <w:t>)</w:t>
      </w:r>
    </w:p>
    <w:p w14:paraId="73A2F040" w14:textId="77777777" w:rsidR="00F9003C" w:rsidRPr="000D668A" w:rsidRDefault="00F9003C" w:rsidP="00F9003C">
      <w:pPr>
        <w:pStyle w:val="NoSpacing"/>
        <w:ind w:firstLine="720"/>
        <w:rPr>
          <w:rFonts w:ascii="Times New Roman" w:hAnsi="Times New Roman" w:cs="Times New Roman"/>
        </w:rPr>
      </w:pPr>
      <w:r w:rsidRPr="000D668A">
        <w:rPr>
          <w:rFonts w:ascii="Times New Roman" w:hAnsi="Times New Roman" w:cs="Times New Roman"/>
        </w:rPr>
        <w:t>The same seven records were requested from the same seven agencies common to all states:</w:t>
      </w:r>
    </w:p>
    <w:p w14:paraId="4CE7AFD9" w14:textId="77777777" w:rsidR="00F9003C" w:rsidRPr="000D668A"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Department of Education:</w:t>
      </w:r>
      <w:r w:rsidRPr="000D668A">
        <w:rPr>
          <w:rFonts w:ascii="Times New Roman" w:hAnsi="Times New Roman" w:cs="Times New Roman"/>
        </w:rPr>
        <w:t xml:space="preserve"> All state-licensed educators and administrators who had their licenses suspended or revoked and the reasons why. Responses were deemed complete if the name, category of complaint (i.e. sexual misconduct), resulting disciplinary action and date of action were provided.</w:t>
      </w:r>
    </w:p>
    <w:p w14:paraId="6F52078C" w14:textId="77777777" w:rsidR="00F9003C" w:rsidRPr="000D668A"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Secretary of State/State Board of Elections:</w:t>
      </w:r>
      <w:r w:rsidRPr="000D668A">
        <w:rPr>
          <w:rFonts w:ascii="Times New Roman" w:hAnsi="Times New Roman" w:cs="Times New Roman"/>
        </w:rPr>
        <w:t xml:space="preserve"> The list of all registered voters who have had their registration suspended, revoked, or canceled during the preceding 12 months. Responses were only deemed complete if </w:t>
      </w:r>
      <w:proofErr w:type="gramStart"/>
      <w:r w:rsidRPr="000D668A">
        <w:rPr>
          <w:rFonts w:ascii="Times New Roman" w:hAnsi="Times New Roman" w:cs="Times New Roman"/>
        </w:rPr>
        <w:t>names</w:t>
      </w:r>
      <w:proofErr w:type="gramEnd"/>
      <w:r w:rsidRPr="000D668A">
        <w:rPr>
          <w:rFonts w:ascii="Times New Roman" w:hAnsi="Times New Roman" w:cs="Times New Roman"/>
        </w:rPr>
        <w:t xml:space="preserve"> of voters were included.</w:t>
      </w:r>
    </w:p>
    <w:p w14:paraId="38F87F65" w14:textId="77777777" w:rsidR="00F9003C" w:rsidRPr="000D668A"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Department of Corrections:</w:t>
      </w:r>
      <w:r w:rsidRPr="000D668A">
        <w:rPr>
          <w:rFonts w:ascii="Times New Roman" w:hAnsi="Times New Roman" w:cs="Times New Roman"/>
        </w:rPr>
        <w:t xml:space="preserve"> The list of all prisoners who died in custody in state prisons during the preceding 12 months and their causes of death. Responses were deemed complete if agency provided both names and cause of death.</w:t>
      </w:r>
    </w:p>
    <w:p w14:paraId="303C1125" w14:textId="77777777" w:rsidR="00F9003C" w:rsidRPr="000D668A"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 xml:space="preserve">Department of Transportation: </w:t>
      </w:r>
      <w:r w:rsidRPr="000D668A">
        <w:rPr>
          <w:rFonts w:ascii="Times New Roman" w:hAnsi="Times New Roman" w:cs="Times New Roman"/>
        </w:rPr>
        <w:t xml:space="preserve">The names of any vendors that have been blacklisted from doing business with the state’s Department of Transportation during the preceding three years. Responses were deemed complete if the name and duration of suspension for the vendor </w:t>
      </w:r>
      <w:proofErr w:type="gramStart"/>
      <w:r w:rsidRPr="000D668A">
        <w:rPr>
          <w:rFonts w:ascii="Times New Roman" w:hAnsi="Times New Roman" w:cs="Times New Roman"/>
        </w:rPr>
        <w:t>was</w:t>
      </w:r>
      <w:proofErr w:type="gramEnd"/>
      <w:r w:rsidRPr="000D668A">
        <w:rPr>
          <w:rFonts w:ascii="Times New Roman" w:hAnsi="Times New Roman" w:cs="Times New Roman"/>
        </w:rPr>
        <w:t xml:space="preserve"> included.</w:t>
      </w:r>
    </w:p>
    <w:p w14:paraId="0B6A8EEA" w14:textId="77777777" w:rsidR="00F9003C" w:rsidRPr="000D668A"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 xml:space="preserve">Department of Fish and Wildlife: </w:t>
      </w:r>
      <w:r w:rsidRPr="000D668A">
        <w:rPr>
          <w:rFonts w:ascii="Times New Roman" w:hAnsi="Times New Roman" w:cs="Times New Roman"/>
        </w:rPr>
        <w:t>The list of all recipients of fishing or hunting licenses during the past 12 months. The responses were deemed complete if all names were unredacted.</w:t>
      </w:r>
    </w:p>
    <w:p w14:paraId="11F94BA7" w14:textId="77777777" w:rsidR="00F9003C" w:rsidRPr="000D668A"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Department of Health/Medical Licensing:</w:t>
      </w:r>
      <w:r w:rsidRPr="000D668A">
        <w:rPr>
          <w:rFonts w:ascii="Times New Roman" w:hAnsi="Times New Roman" w:cs="Times New Roman"/>
        </w:rPr>
        <w:t xml:space="preserve"> All licensed medical doctors who have had their licenses suspended or revoked during the preceding 12 months and the reasons why. Responses were deemed complete if the name, category of complaint (i.e. sexual misconduct), resulting disciplinary action, and date of action were provided.</w:t>
      </w:r>
    </w:p>
    <w:p w14:paraId="23D7F254" w14:textId="77777777" w:rsidR="00F9003C" w:rsidRDefault="00F9003C" w:rsidP="00F9003C">
      <w:pPr>
        <w:pStyle w:val="NoSpacing"/>
        <w:numPr>
          <w:ilvl w:val="0"/>
          <w:numId w:val="1"/>
        </w:numPr>
        <w:rPr>
          <w:rFonts w:ascii="Times New Roman" w:hAnsi="Times New Roman" w:cs="Times New Roman"/>
        </w:rPr>
      </w:pPr>
      <w:r w:rsidRPr="00613816">
        <w:rPr>
          <w:rFonts w:ascii="Times New Roman" w:hAnsi="Times New Roman" w:cs="Times New Roman"/>
          <w:b/>
          <w:bCs/>
        </w:rPr>
        <w:t>State Police/Highway Patrol:</w:t>
      </w:r>
      <w:r w:rsidRPr="000D668A">
        <w:rPr>
          <w:rFonts w:ascii="Times New Roman" w:hAnsi="Times New Roman" w:cs="Times New Roman"/>
        </w:rPr>
        <w:t xml:space="preserve"> All disciplinary complaints filed against certified law enforcement officers or agents during the preceding 12 months. Responses were deemed complete if the name, category of complaint (i.e. sexual misconduct), resulting disciplinary action, and date of action were provided.</w:t>
      </w:r>
    </w:p>
    <w:p w14:paraId="2E7EC3C4" w14:textId="77777777" w:rsidR="00713BC9" w:rsidRPr="000D668A" w:rsidRDefault="00713BC9" w:rsidP="00713BC9">
      <w:pPr>
        <w:pStyle w:val="NoSpacing"/>
        <w:ind w:left="1080"/>
        <w:rPr>
          <w:rFonts w:ascii="Times New Roman" w:hAnsi="Times New Roman" w:cs="Times New Roman"/>
        </w:rPr>
      </w:pPr>
    </w:p>
    <w:p w14:paraId="2E783DE2" w14:textId="77777777" w:rsidR="00F9003C" w:rsidRPr="000D668A" w:rsidRDefault="00F9003C" w:rsidP="00F9003C">
      <w:pPr>
        <w:pStyle w:val="NoSpacing"/>
        <w:ind w:firstLine="720"/>
        <w:rPr>
          <w:rFonts w:ascii="Times New Roman" w:hAnsi="Times New Roman" w:cs="Times New Roman"/>
        </w:rPr>
      </w:pPr>
      <w:r w:rsidRPr="000D668A">
        <w:rPr>
          <w:rFonts w:ascii="Times New Roman" w:hAnsi="Times New Roman" w:cs="Times New Roman"/>
        </w:rPr>
        <w:t>Request letters were generated through the same template provided by the Student Press Law Center website (</w:t>
      </w:r>
      <w:hyperlink r:id="rId5" w:history="1">
        <w:r w:rsidRPr="00526FFE">
          <w:rPr>
            <w:rStyle w:val="Hyperlink"/>
            <w:rFonts w:ascii="Times New Roman" w:hAnsi="Times New Roman" w:cs="Times New Roman"/>
          </w:rPr>
          <w:t>https://splc.org/lettergenerator/</w:t>
        </w:r>
      </w:hyperlink>
      <w:r w:rsidRPr="000D668A">
        <w:rPr>
          <w:rFonts w:ascii="Times New Roman" w:hAnsi="Times New Roman" w:cs="Times New Roman"/>
        </w:rPr>
        <w:t xml:space="preserve">). Requests were sent one of five different ways, depending on the preferences of the agencies as outlined on their websites: 1) a specific public-records email address; 2) a generic agency email address; 3) an online public records portal, 4) a PDF form provided by the agency to be filled out and emailed; and 5) online “contact us” or “feedback” form on the agency’s website. Requests were sent in waves from November 7, 2023, through January 10, 2024. The study excluded Washington, D.C., and the six states that require in-state residency for public record requests (Alabama, Arkansas, Delaware, Kentucky, Tennessee, and Virginia). Each agency was granted 45 days to complete the request, which is </w:t>
      </w:r>
      <w:r w:rsidRPr="000D668A">
        <w:rPr>
          <w:rFonts w:ascii="Times New Roman" w:hAnsi="Times New Roman" w:cs="Times New Roman"/>
        </w:rPr>
        <w:lastRenderedPageBreak/>
        <w:t xml:space="preserve">longer than allowed by law (the longest deadline allowed by law is in Maryland, with 30 days). The letters came from a student at </w:t>
      </w:r>
      <w:r>
        <w:rPr>
          <w:rFonts w:ascii="Times New Roman" w:hAnsi="Times New Roman" w:cs="Times New Roman"/>
        </w:rPr>
        <w:t>a public university</w:t>
      </w:r>
      <w:r w:rsidRPr="000D668A">
        <w:rPr>
          <w:rFonts w:ascii="Times New Roman" w:hAnsi="Times New Roman" w:cs="Times New Roman"/>
        </w:rPr>
        <w:t xml:space="preserve"> who identified himself only by his name and address. If pressed by agencies, the student identified himself as a researcher at </w:t>
      </w:r>
      <w:r>
        <w:rPr>
          <w:rFonts w:ascii="Times New Roman" w:hAnsi="Times New Roman" w:cs="Times New Roman"/>
        </w:rPr>
        <w:t>a public university</w:t>
      </w:r>
      <w:r w:rsidRPr="000D668A">
        <w:rPr>
          <w:rFonts w:ascii="Times New Roman" w:hAnsi="Times New Roman" w:cs="Times New Roman"/>
        </w:rPr>
        <w:t>.</w:t>
      </w:r>
    </w:p>
    <w:p w14:paraId="55EAD7E0" w14:textId="1F42486D" w:rsidR="00F9003C" w:rsidRDefault="00F9003C" w:rsidP="00F9003C">
      <w:pPr>
        <w:pStyle w:val="NoSpacing"/>
        <w:ind w:firstLine="720"/>
        <w:rPr>
          <w:rFonts w:ascii="Times New Roman" w:hAnsi="Times New Roman" w:cs="Times New Roman"/>
        </w:rPr>
      </w:pPr>
      <w:r w:rsidRPr="000D668A">
        <w:rPr>
          <w:rFonts w:ascii="Times New Roman" w:hAnsi="Times New Roman" w:cs="Times New Roman"/>
        </w:rPr>
        <w:t xml:space="preserve">Request-based field experiments have employed different measures of “compliance” or transparency. Some have created a compliance measure of either “1” for providing the records in full, or “0” for every other response. Some have created “accuracy” rates, labeling full or partial fulfillment of the request as “1” and everything else as “0”. Some have labeled a positive outcome as those that provided the records or </w:t>
      </w:r>
      <w:proofErr w:type="gramStart"/>
      <w:r w:rsidRPr="000D668A">
        <w:rPr>
          <w:rFonts w:ascii="Times New Roman" w:hAnsi="Times New Roman" w:cs="Times New Roman"/>
        </w:rPr>
        <w:t>provide records</w:t>
      </w:r>
      <w:proofErr w:type="gramEnd"/>
      <w:r w:rsidRPr="000D668A">
        <w:rPr>
          <w:rFonts w:ascii="Times New Roman" w:hAnsi="Times New Roman" w:cs="Times New Roman"/>
        </w:rPr>
        <w:t xml:space="preserve"> proactively online, negative for denied</w:t>
      </w:r>
      <w:r>
        <w:rPr>
          <w:rFonts w:ascii="Times New Roman" w:hAnsi="Times New Roman" w:cs="Times New Roman"/>
        </w:rPr>
        <w:t xml:space="preserve"> or no res</w:t>
      </w:r>
      <w:r w:rsidR="00AD676C">
        <w:rPr>
          <w:rFonts w:ascii="Times New Roman" w:hAnsi="Times New Roman" w:cs="Times New Roman"/>
        </w:rPr>
        <w:t>p</w:t>
      </w:r>
      <w:r>
        <w:rPr>
          <w:rFonts w:ascii="Times New Roman" w:hAnsi="Times New Roman" w:cs="Times New Roman"/>
        </w:rPr>
        <w:t>onse</w:t>
      </w:r>
      <w:r w:rsidRPr="000D668A">
        <w:rPr>
          <w:rFonts w:ascii="Times New Roman" w:hAnsi="Times New Roman" w:cs="Times New Roman"/>
        </w:rPr>
        <w:t>, and neutral for all other response</w:t>
      </w:r>
      <w:r w:rsidR="00AD676C">
        <w:rPr>
          <w:rFonts w:ascii="Times New Roman" w:hAnsi="Times New Roman" w:cs="Times New Roman"/>
        </w:rPr>
        <w:t>s</w:t>
      </w:r>
      <w:r w:rsidRPr="000D668A">
        <w:rPr>
          <w:rFonts w:ascii="Times New Roman" w:hAnsi="Times New Roman" w:cs="Times New Roman"/>
        </w:rPr>
        <w:t xml:space="preserve">. Some have created more nuanced 5-point scales and collapsed them into a dichotomous variable of </w:t>
      </w:r>
      <w:r>
        <w:rPr>
          <w:rFonts w:ascii="Times New Roman" w:hAnsi="Times New Roman" w:cs="Times New Roman"/>
        </w:rPr>
        <w:t>“Make Public”</w:t>
      </w:r>
      <w:r w:rsidRPr="000D668A">
        <w:rPr>
          <w:rFonts w:ascii="Times New Roman" w:hAnsi="Times New Roman" w:cs="Times New Roman"/>
        </w:rPr>
        <w:t xml:space="preserve"> vs. everything else. For the purposes of this study, three different criterion measures were employed, to compare the approaches</w:t>
      </w:r>
      <w:r>
        <w:rPr>
          <w:rFonts w:ascii="Times New Roman" w:hAnsi="Times New Roman" w:cs="Times New Roman"/>
        </w:rPr>
        <w:t xml:space="preserve"> and </w:t>
      </w:r>
      <w:r w:rsidRPr="00663EB5">
        <w:rPr>
          <w:rFonts w:ascii="Times New Roman" w:hAnsi="Times New Roman" w:cs="Times New Roman"/>
          <w:color w:val="000000" w:themeColor="text1"/>
        </w:rPr>
        <w:t xml:space="preserve">test a new 8-item scale </w:t>
      </w:r>
      <w:r w:rsidRPr="000D668A">
        <w:rPr>
          <w:rFonts w:ascii="Times New Roman" w:hAnsi="Times New Roman" w:cs="Times New Roman"/>
        </w:rPr>
        <w:t>to aid future researchers</w:t>
      </w:r>
      <w:r>
        <w:rPr>
          <w:rFonts w:ascii="Times New Roman" w:hAnsi="Times New Roman" w:cs="Times New Roman"/>
        </w:rPr>
        <w:t xml:space="preserve"> in </w:t>
      </w:r>
      <w:r w:rsidRPr="000D668A">
        <w:rPr>
          <w:rFonts w:ascii="Times New Roman" w:hAnsi="Times New Roman" w:cs="Times New Roman"/>
        </w:rPr>
        <w:t>advancing FOI audit methodology.</w:t>
      </w:r>
    </w:p>
    <w:p w14:paraId="2D687EDF" w14:textId="77777777" w:rsidR="00F9003C" w:rsidRPr="000D668A" w:rsidRDefault="00F9003C" w:rsidP="00F9003C">
      <w:pPr>
        <w:pStyle w:val="NoSpacing"/>
        <w:rPr>
          <w:rFonts w:ascii="Times New Roman" w:hAnsi="Times New Roman" w:cs="Times New Roman"/>
          <w:b/>
          <w:bCs/>
          <w:i/>
          <w:iCs/>
        </w:rPr>
      </w:pPr>
      <w:r>
        <w:rPr>
          <w:rFonts w:ascii="Times New Roman" w:hAnsi="Times New Roman" w:cs="Times New Roman"/>
          <w:b/>
          <w:bCs/>
          <w:i/>
          <w:iCs/>
        </w:rPr>
        <w:t xml:space="preserve">Measure 1: </w:t>
      </w:r>
      <w:r w:rsidRPr="000D668A">
        <w:rPr>
          <w:rFonts w:ascii="Times New Roman" w:hAnsi="Times New Roman" w:cs="Times New Roman"/>
          <w:b/>
          <w:bCs/>
          <w:i/>
          <w:iCs/>
        </w:rPr>
        <w:t>Denied</w:t>
      </w:r>
    </w:p>
    <w:p w14:paraId="1CD80A54" w14:textId="38766A4D" w:rsidR="00F9003C" w:rsidRPr="000D668A" w:rsidRDefault="00F9003C" w:rsidP="00F9003C">
      <w:pPr>
        <w:pStyle w:val="NoSpacing"/>
        <w:ind w:firstLine="720"/>
        <w:rPr>
          <w:rFonts w:ascii="Times New Roman" w:hAnsi="Times New Roman" w:cs="Times New Roman"/>
        </w:rPr>
      </w:pPr>
      <w:r>
        <w:rPr>
          <w:rFonts w:ascii="Times New Roman" w:hAnsi="Times New Roman" w:cs="Times New Roman"/>
        </w:rPr>
        <w:t xml:space="preserve">One of the most common measures in </w:t>
      </w:r>
      <w:proofErr w:type="gramStart"/>
      <w:r>
        <w:rPr>
          <w:rFonts w:ascii="Times New Roman" w:hAnsi="Times New Roman" w:cs="Times New Roman"/>
        </w:rPr>
        <w:t>the literature</w:t>
      </w:r>
      <w:proofErr w:type="gramEnd"/>
      <w:r>
        <w:rPr>
          <w:rFonts w:ascii="Times New Roman" w:hAnsi="Times New Roman" w:cs="Times New Roman"/>
        </w:rPr>
        <w:t xml:space="preserve"> for measuring compliance with public record laws is a simple dichotomous variable measuring whether the person got the information or was denied, ignored, or told nothing relevant exists</w:t>
      </w:r>
      <w:r w:rsidR="00572E6A">
        <w:rPr>
          <w:rFonts w:ascii="Times New Roman" w:hAnsi="Times New Roman" w:cs="Times New Roman"/>
        </w:rPr>
        <w:t xml:space="preserve">. </w:t>
      </w:r>
      <w:r>
        <w:rPr>
          <w:rFonts w:ascii="Times New Roman" w:hAnsi="Times New Roman" w:cs="Times New Roman"/>
        </w:rPr>
        <w:t>This study will employ a similar dichotomous measure with a “1” indicating denied or no response (a “constructive denial”) or “0” for any other response, such as providing the records.</w:t>
      </w:r>
    </w:p>
    <w:p w14:paraId="2710FFC6" w14:textId="77777777" w:rsidR="00F9003C" w:rsidRPr="000D668A" w:rsidRDefault="00F9003C" w:rsidP="00F9003C">
      <w:pPr>
        <w:pStyle w:val="NoSpacing"/>
        <w:rPr>
          <w:rFonts w:ascii="Times New Roman" w:hAnsi="Times New Roman" w:cs="Times New Roman"/>
          <w:b/>
          <w:bCs/>
          <w:i/>
          <w:iCs/>
        </w:rPr>
      </w:pPr>
      <w:r>
        <w:rPr>
          <w:rFonts w:ascii="Times New Roman" w:hAnsi="Times New Roman" w:cs="Times New Roman"/>
          <w:b/>
          <w:bCs/>
          <w:i/>
          <w:iCs/>
        </w:rPr>
        <w:t xml:space="preserve">Measure 2: </w:t>
      </w:r>
      <w:r w:rsidRPr="000D668A">
        <w:rPr>
          <w:rFonts w:ascii="Times New Roman" w:hAnsi="Times New Roman" w:cs="Times New Roman"/>
          <w:b/>
          <w:bCs/>
          <w:i/>
          <w:iCs/>
        </w:rPr>
        <w:t>Success</w:t>
      </w:r>
      <w:r>
        <w:rPr>
          <w:rFonts w:ascii="Times New Roman" w:hAnsi="Times New Roman" w:cs="Times New Roman"/>
          <w:b/>
          <w:bCs/>
          <w:i/>
          <w:iCs/>
        </w:rPr>
        <w:t xml:space="preserve"> Scale</w:t>
      </w:r>
    </w:p>
    <w:p w14:paraId="52311ECD" w14:textId="5084BEFD" w:rsidR="00F9003C" w:rsidRPr="00565D8B" w:rsidRDefault="00F9003C" w:rsidP="00F9003C">
      <w:pPr>
        <w:pStyle w:val="NoSpacing"/>
        <w:ind w:firstLine="720"/>
        <w:rPr>
          <w:rFonts w:ascii="Times New Roman" w:hAnsi="Times New Roman" w:cs="Times New Roman"/>
          <w:color w:val="00B050"/>
        </w:rPr>
      </w:pPr>
      <w:r w:rsidRPr="000D668A">
        <w:rPr>
          <w:rFonts w:ascii="Times New Roman" w:hAnsi="Times New Roman" w:cs="Times New Roman"/>
        </w:rPr>
        <w:t>To build on previous field experiments applying FOI audits, we also created a</w:t>
      </w:r>
      <w:r>
        <w:rPr>
          <w:rFonts w:ascii="Times New Roman" w:hAnsi="Times New Roman" w:cs="Times New Roman"/>
        </w:rPr>
        <w:t xml:space="preserve"> 3-item ordinal</w:t>
      </w:r>
      <w:r w:rsidRPr="000D668A">
        <w:rPr>
          <w:rFonts w:ascii="Times New Roman" w:hAnsi="Times New Roman" w:cs="Times New Roman"/>
        </w:rPr>
        <w:t xml:space="preserve"> “success scale,” which </w:t>
      </w:r>
      <w:r>
        <w:rPr>
          <w:rFonts w:ascii="Times New Roman" w:hAnsi="Times New Roman" w:cs="Times New Roman"/>
        </w:rPr>
        <w:t>distinguishes between</w:t>
      </w:r>
      <w:r w:rsidRPr="000D668A">
        <w:rPr>
          <w:rFonts w:ascii="Times New Roman" w:hAnsi="Times New Roman" w:cs="Times New Roman"/>
        </w:rPr>
        <w:t xml:space="preserve"> full </w:t>
      </w:r>
      <w:r>
        <w:rPr>
          <w:rFonts w:ascii="Times New Roman" w:hAnsi="Times New Roman" w:cs="Times New Roman"/>
        </w:rPr>
        <w:t>and</w:t>
      </w:r>
      <w:r w:rsidRPr="000D668A">
        <w:rPr>
          <w:rFonts w:ascii="Times New Roman" w:hAnsi="Times New Roman" w:cs="Times New Roman"/>
        </w:rPr>
        <w:t xml:space="preserve"> partial compliance</w:t>
      </w:r>
      <w:r>
        <w:rPr>
          <w:rFonts w:ascii="Times New Roman" w:hAnsi="Times New Roman" w:cs="Times New Roman"/>
        </w:rPr>
        <w:t xml:space="preserve"> by government agencies</w:t>
      </w:r>
      <w:r w:rsidRPr="000D668A">
        <w:rPr>
          <w:rFonts w:ascii="Times New Roman" w:hAnsi="Times New Roman" w:cs="Times New Roman"/>
        </w:rPr>
        <w:t xml:space="preserve">. This 3-point scale, with the higher the number indicating greater transparency, </w:t>
      </w:r>
      <w:r>
        <w:rPr>
          <w:rFonts w:ascii="Times New Roman" w:hAnsi="Times New Roman" w:cs="Times New Roman"/>
        </w:rPr>
        <w:t>designated</w:t>
      </w:r>
      <w:r w:rsidRPr="000D668A">
        <w:rPr>
          <w:rFonts w:ascii="Times New Roman" w:hAnsi="Times New Roman" w:cs="Times New Roman"/>
        </w:rPr>
        <w:t xml:space="preserve"> a “3” for responses where all records were provided, a “2” for those in partial compliance, and a “1” for all other responses.</w:t>
      </w:r>
    </w:p>
    <w:p w14:paraId="41779070" w14:textId="77777777" w:rsidR="00F9003C" w:rsidRPr="000D668A" w:rsidRDefault="00F9003C" w:rsidP="00F9003C">
      <w:pPr>
        <w:pStyle w:val="NoSpacing"/>
        <w:rPr>
          <w:rFonts w:ascii="Times New Roman" w:hAnsi="Times New Roman" w:cs="Times New Roman"/>
          <w:b/>
          <w:bCs/>
          <w:i/>
          <w:iCs/>
        </w:rPr>
      </w:pPr>
      <w:r>
        <w:rPr>
          <w:rFonts w:ascii="Times New Roman" w:hAnsi="Times New Roman" w:cs="Times New Roman"/>
          <w:b/>
          <w:bCs/>
          <w:i/>
          <w:iCs/>
        </w:rPr>
        <w:t xml:space="preserve">Measure 3: </w:t>
      </w:r>
      <w:r w:rsidRPr="000D668A">
        <w:rPr>
          <w:rFonts w:ascii="Times New Roman" w:hAnsi="Times New Roman" w:cs="Times New Roman"/>
          <w:b/>
          <w:bCs/>
          <w:i/>
          <w:iCs/>
        </w:rPr>
        <w:t>Transparency Scale</w:t>
      </w:r>
    </w:p>
    <w:p w14:paraId="22ECFD18" w14:textId="6A3E4A1F" w:rsidR="00F9003C" w:rsidRPr="000D668A" w:rsidRDefault="00F9003C" w:rsidP="00F9003C">
      <w:pPr>
        <w:pStyle w:val="NoSpacing"/>
        <w:ind w:firstLine="720"/>
        <w:rPr>
          <w:rFonts w:ascii="Times New Roman" w:hAnsi="Times New Roman" w:cs="Times New Roman"/>
        </w:rPr>
      </w:pPr>
      <w:r w:rsidRPr="000D668A">
        <w:rPr>
          <w:rFonts w:ascii="Times New Roman" w:hAnsi="Times New Roman" w:cs="Times New Roman"/>
        </w:rPr>
        <w:t xml:space="preserve">A </w:t>
      </w:r>
      <w:r w:rsidRPr="00663EB5">
        <w:rPr>
          <w:rFonts w:ascii="Times New Roman" w:hAnsi="Times New Roman" w:cs="Times New Roman"/>
          <w:color w:val="000000" w:themeColor="text1"/>
        </w:rPr>
        <w:t xml:space="preserve">new </w:t>
      </w:r>
      <w:r w:rsidRPr="000D668A">
        <w:rPr>
          <w:rFonts w:ascii="Times New Roman" w:hAnsi="Times New Roman" w:cs="Times New Roman"/>
        </w:rPr>
        <w:t>1-8 transparency scale was created in consultation with FOI</w:t>
      </w:r>
      <w:r>
        <w:rPr>
          <w:rFonts w:ascii="Times New Roman" w:hAnsi="Times New Roman" w:cs="Times New Roman"/>
        </w:rPr>
        <w:t xml:space="preserve"> experts to attempt to create a more detailed, precise measure of compliance</w:t>
      </w:r>
      <w:r w:rsidRPr="000D668A">
        <w:rPr>
          <w:rFonts w:ascii="Times New Roman" w:hAnsi="Times New Roman" w:cs="Times New Roman"/>
        </w:rPr>
        <w:t xml:space="preserve">. </w:t>
      </w:r>
      <w:r>
        <w:rPr>
          <w:rFonts w:ascii="Times New Roman" w:hAnsi="Times New Roman" w:cs="Times New Roman"/>
          <w:color w:val="000000" w:themeColor="text1"/>
        </w:rPr>
        <w:t xml:space="preserve">Two previous studies have attempted to use 5-point ordinal scales, eventually collapsing them into dichotomous measures. No study could be found applying an 8-item ordinal scale. </w:t>
      </w:r>
      <w:r w:rsidRPr="001C4939">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scale was created with the help of the </w:t>
      </w:r>
      <w:r w:rsidRPr="001C4939">
        <w:rPr>
          <w:rFonts w:ascii="Times New Roman" w:hAnsi="Times New Roman" w:cs="Times New Roman"/>
          <w:color w:val="000000" w:themeColor="text1"/>
        </w:rPr>
        <w:t xml:space="preserve">nonprofit </w:t>
      </w:r>
      <w:proofErr w:type="spellStart"/>
      <w:r w:rsidRPr="001C4939">
        <w:rPr>
          <w:rFonts w:ascii="Times New Roman" w:hAnsi="Times New Roman" w:cs="Times New Roman"/>
          <w:color w:val="000000" w:themeColor="text1"/>
        </w:rPr>
        <w:t>MuckRock</w:t>
      </w:r>
      <w:proofErr w:type="spellEnd"/>
      <w:r>
        <w:rPr>
          <w:rFonts w:ascii="Times New Roman" w:hAnsi="Times New Roman" w:cs="Times New Roman"/>
          <w:color w:val="000000" w:themeColor="text1"/>
        </w:rPr>
        <w:t>, which</w:t>
      </w:r>
      <w:r w:rsidRPr="001C4939">
        <w:rPr>
          <w:rFonts w:ascii="Times New Roman" w:hAnsi="Times New Roman" w:cs="Times New Roman"/>
          <w:color w:val="000000" w:themeColor="text1"/>
        </w:rPr>
        <w:t xml:space="preserve"> has aided people with more than 150,000 public records requests around the nation</w:t>
      </w:r>
      <w:r>
        <w:rPr>
          <w:rFonts w:ascii="Times New Roman" w:hAnsi="Times New Roman" w:cs="Times New Roman"/>
          <w:color w:val="000000" w:themeColor="text1"/>
        </w:rPr>
        <w:t xml:space="preserve"> since 2010</w:t>
      </w:r>
      <w:r w:rsidRPr="001C4939">
        <w:rPr>
          <w:rFonts w:ascii="Times New Roman" w:hAnsi="Times New Roman" w:cs="Times New Roman"/>
          <w:color w:val="000000" w:themeColor="text1"/>
        </w:rPr>
        <w:t>, coding outcomes</w:t>
      </w:r>
      <w:r>
        <w:rPr>
          <w:rFonts w:ascii="Times New Roman" w:hAnsi="Times New Roman" w:cs="Times New Roman"/>
          <w:color w:val="000000" w:themeColor="text1"/>
        </w:rPr>
        <w:t xml:space="preserve"> of their requests</w:t>
      </w:r>
      <w:r w:rsidRPr="001C4939">
        <w:rPr>
          <w:rFonts w:ascii="Times New Roman" w:hAnsi="Times New Roman" w:cs="Times New Roman"/>
          <w:color w:val="000000" w:themeColor="text1"/>
        </w:rPr>
        <w:t xml:space="preserve"> into 12 different categories, </w:t>
      </w:r>
      <w:r>
        <w:rPr>
          <w:rFonts w:ascii="Times New Roman" w:hAnsi="Times New Roman" w:cs="Times New Roman"/>
          <w:color w:val="000000" w:themeColor="text1"/>
        </w:rPr>
        <w:t>of which 8 were employed for</w:t>
      </w:r>
      <w:r w:rsidRPr="001C4939">
        <w:rPr>
          <w:rFonts w:ascii="Times New Roman" w:hAnsi="Times New Roman" w:cs="Times New Roman"/>
          <w:color w:val="000000" w:themeColor="text1"/>
        </w:rPr>
        <w:t xml:space="preserve"> th</w:t>
      </w:r>
      <w:r>
        <w:rPr>
          <w:rFonts w:ascii="Times New Roman" w:hAnsi="Times New Roman" w:cs="Times New Roman"/>
          <w:color w:val="000000" w:themeColor="text1"/>
        </w:rPr>
        <w:t>is new</w:t>
      </w:r>
      <w:r w:rsidRPr="001C4939">
        <w:rPr>
          <w:rFonts w:ascii="Times New Roman" w:hAnsi="Times New Roman" w:cs="Times New Roman"/>
          <w:color w:val="000000" w:themeColor="text1"/>
        </w:rPr>
        <w:t xml:space="preserve"> Transparency Scale. The founder of </w:t>
      </w:r>
      <w:proofErr w:type="spellStart"/>
      <w:r w:rsidRPr="001C4939">
        <w:rPr>
          <w:rFonts w:ascii="Times New Roman" w:hAnsi="Times New Roman" w:cs="Times New Roman"/>
          <w:color w:val="000000" w:themeColor="text1"/>
        </w:rPr>
        <w:t>MuckRock</w:t>
      </w:r>
      <w:proofErr w:type="spellEnd"/>
      <w:r w:rsidRPr="001C4939">
        <w:rPr>
          <w:rFonts w:ascii="Times New Roman" w:hAnsi="Times New Roman" w:cs="Times New Roman"/>
          <w:color w:val="000000" w:themeColor="text1"/>
        </w:rPr>
        <w:t xml:space="preserve">, Michael Morisy, was consulted in ranking eight of the outcomes from least compliant (no records provided) to most compliant (all records provided). </w:t>
      </w:r>
      <w:r w:rsidRPr="000D668A">
        <w:rPr>
          <w:rFonts w:ascii="Times New Roman" w:hAnsi="Times New Roman" w:cs="Times New Roman"/>
        </w:rPr>
        <w:t xml:space="preserve">Responses from the agencies were recorded for </w:t>
      </w:r>
      <w:proofErr w:type="gramStart"/>
      <w:r w:rsidRPr="000D668A">
        <w:rPr>
          <w:rFonts w:ascii="Times New Roman" w:hAnsi="Times New Roman" w:cs="Times New Roman"/>
        </w:rPr>
        <w:t>all of</w:t>
      </w:r>
      <w:proofErr w:type="gramEnd"/>
      <w:r w:rsidRPr="000D668A">
        <w:rPr>
          <w:rFonts w:ascii="Times New Roman" w:hAnsi="Times New Roman" w:cs="Times New Roman"/>
        </w:rPr>
        <w:t xml:space="preserve"> the requests (</w:t>
      </w:r>
      <w:r w:rsidRPr="000D668A">
        <w:rPr>
          <w:rFonts w:ascii="Times New Roman" w:hAnsi="Times New Roman" w:cs="Times New Roman"/>
          <w:i/>
          <w:iCs/>
        </w:rPr>
        <w:t>N</w:t>
      </w:r>
      <w:r w:rsidRPr="000D668A">
        <w:rPr>
          <w:rFonts w:ascii="Times New Roman" w:hAnsi="Times New Roman" w:cs="Times New Roman"/>
        </w:rPr>
        <w:t xml:space="preserve"> = 308), categorized, and then coded into an overall transparency scale, with a higher number indicating greater compliance and transparency:</w:t>
      </w:r>
    </w:p>
    <w:p w14:paraId="78B6447A" w14:textId="77777777" w:rsidR="00F9003C" w:rsidRPr="000D668A" w:rsidRDefault="00F9003C" w:rsidP="00F9003C">
      <w:pPr>
        <w:pStyle w:val="NoSpacing"/>
        <w:numPr>
          <w:ilvl w:val="0"/>
          <w:numId w:val="2"/>
        </w:numPr>
        <w:rPr>
          <w:rFonts w:ascii="Times New Roman" w:hAnsi="Times New Roman" w:cs="Times New Roman"/>
        </w:rPr>
      </w:pPr>
      <w:bookmarkStart w:id="0" w:name="_Hlk200026862"/>
      <w:r w:rsidRPr="000D668A">
        <w:rPr>
          <w:rFonts w:ascii="Times New Roman" w:hAnsi="Times New Roman" w:cs="Times New Roman"/>
        </w:rPr>
        <w:t>No records were provided to the researcher, or the response said records were available online, but they weren’t.</w:t>
      </w:r>
    </w:p>
    <w:p w14:paraId="036DF675" w14:textId="77777777" w:rsidR="00F9003C" w:rsidRPr="000D668A"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t>The agency did not respond to the records request.</w:t>
      </w:r>
    </w:p>
    <w:p w14:paraId="2C949CFA" w14:textId="77777777" w:rsidR="00F9003C" w:rsidRPr="000D668A"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t>The agency would not proceed with the request until a fee was paid.</w:t>
      </w:r>
    </w:p>
    <w:p w14:paraId="5C56FEAE" w14:textId="77777777" w:rsidR="00F9003C" w:rsidRPr="000D668A"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t>The agency said there were no records applicable to the request.</w:t>
      </w:r>
    </w:p>
    <w:p w14:paraId="10754D94" w14:textId="77777777" w:rsidR="00F9003C" w:rsidRPr="000D668A"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t>The agency cited a specific legal statute that allowed the specific record requested to be exempt from disclosure, which was verified by the researcher (When in doubt, the decision sided with the agency).</w:t>
      </w:r>
    </w:p>
    <w:p w14:paraId="7F2DDD9C" w14:textId="77777777" w:rsidR="00F9003C" w:rsidRPr="000D668A"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lastRenderedPageBreak/>
        <w:t>The response provided some, but not all, of the requested records (partial compliance).</w:t>
      </w:r>
    </w:p>
    <w:p w14:paraId="1D9BA861" w14:textId="77777777" w:rsidR="00F9003C" w:rsidRPr="000D668A"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t xml:space="preserve">The requested records were available online to the </w:t>
      </w:r>
      <w:proofErr w:type="gramStart"/>
      <w:r w:rsidRPr="000D668A">
        <w:rPr>
          <w:rFonts w:ascii="Times New Roman" w:hAnsi="Times New Roman" w:cs="Times New Roman"/>
        </w:rPr>
        <w:t>general public</w:t>
      </w:r>
      <w:proofErr w:type="gramEnd"/>
      <w:r w:rsidRPr="000D668A">
        <w:rPr>
          <w:rFonts w:ascii="Times New Roman" w:hAnsi="Times New Roman" w:cs="Times New Roman"/>
        </w:rPr>
        <w:t xml:space="preserve"> proactively.</w:t>
      </w:r>
    </w:p>
    <w:p w14:paraId="77974AB5" w14:textId="77777777" w:rsidR="00F9003C" w:rsidRPr="006C1071" w:rsidRDefault="00F9003C" w:rsidP="00F9003C">
      <w:pPr>
        <w:pStyle w:val="NoSpacing"/>
        <w:numPr>
          <w:ilvl w:val="0"/>
          <w:numId w:val="2"/>
        </w:numPr>
        <w:rPr>
          <w:rFonts w:ascii="Times New Roman" w:hAnsi="Times New Roman" w:cs="Times New Roman"/>
        </w:rPr>
      </w:pPr>
      <w:r w:rsidRPr="000D668A">
        <w:rPr>
          <w:rFonts w:ascii="Times New Roman" w:hAnsi="Times New Roman" w:cs="Times New Roman"/>
        </w:rPr>
        <w:t>All requested records were provided to the researcher as requested.</w:t>
      </w:r>
    </w:p>
    <w:bookmarkEnd w:id="0"/>
    <w:p w14:paraId="20CD67BA" w14:textId="77777777" w:rsidR="004A10F4" w:rsidRDefault="004A10F4" w:rsidP="00F9003C">
      <w:pPr>
        <w:pStyle w:val="NoSpacing"/>
        <w:rPr>
          <w:rFonts w:ascii="Times New Roman" w:hAnsi="Times New Roman" w:cs="Times New Roman"/>
          <w:b/>
          <w:bCs/>
        </w:rPr>
      </w:pPr>
    </w:p>
    <w:p w14:paraId="0219E7CF" w14:textId="69313BBB" w:rsidR="00F9003C" w:rsidRPr="000D668A" w:rsidRDefault="00F9003C" w:rsidP="00F9003C">
      <w:pPr>
        <w:pStyle w:val="NoSpacing"/>
        <w:rPr>
          <w:rFonts w:ascii="Times New Roman" w:hAnsi="Times New Roman" w:cs="Times New Roman"/>
          <w:b/>
          <w:bCs/>
        </w:rPr>
      </w:pPr>
      <w:r w:rsidRPr="000D668A">
        <w:rPr>
          <w:rFonts w:ascii="Times New Roman" w:hAnsi="Times New Roman" w:cs="Times New Roman"/>
          <w:b/>
          <w:bCs/>
        </w:rPr>
        <w:t>Newspaper Vitality Variables (Independent</w:t>
      </w:r>
      <w:r w:rsidR="00572E6A">
        <w:rPr>
          <w:rFonts w:ascii="Times New Roman" w:hAnsi="Times New Roman" w:cs="Times New Roman"/>
          <w:b/>
          <w:bCs/>
        </w:rPr>
        <w:t xml:space="preserve"> measures</w:t>
      </w:r>
      <w:r w:rsidRPr="000D668A">
        <w:rPr>
          <w:rFonts w:ascii="Times New Roman" w:hAnsi="Times New Roman" w:cs="Times New Roman"/>
          <w:b/>
          <w:bCs/>
        </w:rPr>
        <w:t>)</w:t>
      </w:r>
    </w:p>
    <w:p w14:paraId="36DEB2F6" w14:textId="77777777" w:rsidR="00F9003C" w:rsidRPr="000D668A" w:rsidRDefault="00F9003C" w:rsidP="00F9003C">
      <w:pPr>
        <w:pStyle w:val="NoSpacing"/>
        <w:rPr>
          <w:rFonts w:ascii="Times New Roman" w:hAnsi="Times New Roman" w:cs="Times New Roman"/>
        </w:rPr>
      </w:pPr>
      <w:r w:rsidRPr="000D668A">
        <w:rPr>
          <w:rFonts w:ascii="Times New Roman" w:hAnsi="Times New Roman" w:cs="Times New Roman"/>
        </w:rPr>
        <w:tab/>
        <w:t>Two measures were used to represent “newspaper vitality,” the independent, or predictor, variables in this study.</w:t>
      </w:r>
    </w:p>
    <w:p w14:paraId="18845B24" w14:textId="53A6EDEE" w:rsidR="00F9003C" w:rsidRPr="000D668A" w:rsidRDefault="00F9003C" w:rsidP="00F9003C">
      <w:pPr>
        <w:pStyle w:val="NoSpacing"/>
        <w:rPr>
          <w:rFonts w:ascii="Times New Roman" w:hAnsi="Times New Roman" w:cs="Times New Roman"/>
        </w:rPr>
      </w:pPr>
      <w:r w:rsidRPr="000D668A">
        <w:rPr>
          <w:rFonts w:ascii="Times New Roman" w:hAnsi="Times New Roman" w:cs="Times New Roman"/>
        </w:rPr>
        <w:tab/>
      </w:r>
      <w:r w:rsidRPr="000D668A">
        <w:rPr>
          <w:rFonts w:ascii="Times New Roman" w:hAnsi="Times New Roman" w:cs="Times New Roman"/>
          <w:b/>
          <w:bCs/>
          <w:i/>
          <w:iCs/>
        </w:rPr>
        <w:t>Newspapers Per Capita.</w:t>
      </w:r>
      <w:r w:rsidRPr="000D668A">
        <w:rPr>
          <w:rFonts w:ascii="Times New Roman" w:hAnsi="Times New Roman" w:cs="Times New Roman"/>
        </w:rPr>
        <w:t xml:space="preserve"> </w:t>
      </w:r>
      <w:r>
        <w:rPr>
          <w:rFonts w:ascii="Times New Roman" w:hAnsi="Times New Roman" w:cs="Times New Roman"/>
        </w:rPr>
        <w:t>A database was</w:t>
      </w:r>
      <w:r w:rsidRPr="000D668A">
        <w:rPr>
          <w:rFonts w:ascii="Times New Roman" w:hAnsi="Times New Roman" w:cs="Times New Roman"/>
        </w:rPr>
        <w:t xml:space="preserve"> provided </w:t>
      </w:r>
      <w:r>
        <w:rPr>
          <w:rFonts w:ascii="Times New Roman" w:hAnsi="Times New Roman" w:cs="Times New Roman"/>
        </w:rPr>
        <w:t>by</w:t>
      </w:r>
      <w:r w:rsidRPr="000D668A">
        <w:rPr>
          <w:rFonts w:ascii="Times New Roman" w:hAnsi="Times New Roman" w:cs="Times New Roman"/>
        </w:rPr>
        <w:t xml:space="preserve"> the Local News Initiative at Northwestern University’s Medill School of Journalism, Media, Integrated Marketing Communications, from their “news deserts” research. The research launched a decade ago at the University of North Carolina at Chapel Hill, under the guidance of Penelope Muse Abernathy, who published the first major research in “news deserts.” The center moved to Northwestern University, where Abernathy serves as a visiting professor. The Local News Initiative provided its database of news outlets that it has identified in the United States. We summed the total number of newspapers for each state and then calculated a per-capita rate (newspapers per every 100,000 people), providing a measure of newspaper density for each state, ranging from a low of 0.8</w:t>
      </w:r>
      <w:r>
        <w:rPr>
          <w:rFonts w:ascii="Times New Roman" w:hAnsi="Times New Roman" w:cs="Times New Roman"/>
        </w:rPr>
        <w:t>2</w:t>
      </w:r>
      <w:r w:rsidRPr="000D668A">
        <w:rPr>
          <w:rFonts w:ascii="Times New Roman" w:hAnsi="Times New Roman" w:cs="Times New Roman"/>
        </w:rPr>
        <w:t xml:space="preserve"> (Hawaii) to a high of 11.8 (South Dakota).</w:t>
      </w:r>
    </w:p>
    <w:p w14:paraId="28A94168" w14:textId="5D217FD0" w:rsidR="00F9003C" w:rsidRPr="000D668A" w:rsidRDefault="00F9003C" w:rsidP="00F9003C">
      <w:pPr>
        <w:pStyle w:val="NoSpacing"/>
        <w:rPr>
          <w:rFonts w:ascii="Times New Roman" w:hAnsi="Times New Roman" w:cs="Times New Roman"/>
        </w:rPr>
      </w:pPr>
      <w:r w:rsidRPr="000D668A">
        <w:rPr>
          <w:rFonts w:ascii="Times New Roman" w:hAnsi="Times New Roman" w:cs="Times New Roman"/>
        </w:rPr>
        <w:tab/>
      </w:r>
      <w:r w:rsidRPr="000D668A">
        <w:rPr>
          <w:rFonts w:ascii="Times New Roman" w:hAnsi="Times New Roman" w:cs="Times New Roman"/>
          <w:b/>
          <w:bCs/>
          <w:i/>
          <w:iCs/>
        </w:rPr>
        <w:t>Press Association Strength.</w:t>
      </w:r>
      <w:r w:rsidRPr="000D668A">
        <w:rPr>
          <w:rFonts w:ascii="Times New Roman" w:hAnsi="Times New Roman" w:cs="Times New Roman"/>
        </w:rPr>
        <w:t xml:space="preserve"> This measure represents the financial strength of state press associations, accounting for state population. Press associations represent local newspapers in their respective states, and have historically served as the primary advocates for public record laws at the state level. States with well-funded press associations should have the capacity to monitor their legislatures for bills that could harm transparency, and lobby against them. Many press associations have suffered from budget cuts as their member newspapers go out of business or retract. For this measure, </w:t>
      </w:r>
      <w:r>
        <w:rPr>
          <w:rFonts w:ascii="Times New Roman" w:hAnsi="Times New Roman" w:cs="Times New Roman"/>
        </w:rPr>
        <w:t xml:space="preserve">a list of press associations was obtained from the nonprofit Newspaper Association </w:t>
      </w:r>
      <w:r w:rsidRPr="004D7B15">
        <w:rPr>
          <w:rFonts w:ascii="Times New Roman" w:hAnsi="Times New Roman" w:cs="Times New Roman"/>
        </w:rPr>
        <w:t>Managers (</w:t>
      </w:r>
      <w:hyperlink r:id="rId6" w:history="1">
        <w:r w:rsidRPr="004D7B15">
          <w:rPr>
            <w:rStyle w:val="Hyperlink"/>
            <w:rFonts w:ascii="Times New Roman" w:hAnsi="Times New Roman" w:cs="Times New Roman"/>
          </w:rPr>
          <w:t>https://www.nammembers.com/</w:t>
        </w:r>
      </w:hyperlink>
      <w:r w:rsidRPr="004D7B15">
        <w:rPr>
          <w:rFonts w:ascii="Times New Roman" w:hAnsi="Times New Roman" w:cs="Times New Roman"/>
        </w:rPr>
        <w:t xml:space="preserve">), which assists press associations. Then, the U.S. Internal Revenue Service “990” forms for the press associations were </w:t>
      </w:r>
      <w:r>
        <w:rPr>
          <w:rFonts w:ascii="Times New Roman" w:hAnsi="Times New Roman" w:cs="Times New Roman"/>
        </w:rPr>
        <w:t>downloaded</w:t>
      </w:r>
      <w:r w:rsidRPr="004D7B15">
        <w:rPr>
          <w:rFonts w:ascii="Times New Roman" w:hAnsi="Times New Roman" w:cs="Times New Roman"/>
        </w:rPr>
        <w:t xml:space="preserve"> from ProPublica’s Nonprofit Explorer (</w:t>
      </w:r>
      <w:hyperlink r:id="rId7" w:history="1">
        <w:r w:rsidRPr="004D7B15">
          <w:rPr>
            <w:rStyle w:val="Hyperlink"/>
            <w:rFonts w:ascii="Times New Roman" w:hAnsi="Times New Roman" w:cs="Times New Roman"/>
          </w:rPr>
          <w:t>https://projects.propublica.org/nonprofits/</w:t>
        </w:r>
      </w:hyperlink>
      <w:r w:rsidRPr="004D7B15">
        <w:rPr>
          <w:rFonts w:ascii="Times New Roman" w:hAnsi="Times New Roman" w:cs="Times New Roman"/>
        </w:rPr>
        <w:t>), as well as the IRS website (</w:t>
      </w:r>
      <w:hyperlink r:id="rId8" w:history="1">
        <w:r w:rsidRPr="004D7B15">
          <w:rPr>
            <w:rStyle w:val="Hyperlink"/>
            <w:rFonts w:ascii="Times New Roman" w:hAnsi="Times New Roman" w:cs="Times New Roman"/>
          </w:rPr>
          <w:t>https://apps.irs.gov/app/eos/</w:t>
        </w:r>
      </w:hyperlink>
      <w:r w:rsidRPr="004D7B15">
        <w:rPr>
          <w:rFonts w:ascii="Times New Roman" w:hAnsi="Times New Roman" w:cs="Times New Roman"/>
        </w:rPr>
        <w:t>), which include revenues for each year, going back</w:t>
      </w:r>
      <w:r>
        <w:rPr>
          <w:rFonts w:ascii="Times New Roman" w:hAnsi="Times New Roman" w:cs="Times New Roman"/>
        </w:rPr>
        <w:t xml:space="preserve"> at least</w:t>
      </w:r>
      <w:r w:rsidRPr="004D7B15">
        <w:rPr>
          <w:rFonts w:ascii="Times New Roman" w:hAnsi="Times New Roman" w:cs="Times New Roman"/>
        </w:rPr>
        <w:t xml:space="preserve"> 10 years. A four-year average was calculated for each state press association</w:t>
      </w:r>
      <w:r w:rsidRPr="000D668A">
        <w:rPr>
          <w:rFonts w:ascii="Times New Roman" w:hAnsi="Times New Roman" w:cs="Times New Roman"/>
        </w:rPr>
        <w:t xml:space="preserve">, from 2019 through 2022, </w:t>
      </w:r>
      <w:proofErr w:type="gramStart"/>
      <w:r w:rsidRPr="000D668A">
        <w:rPr>
          <w:rFonts w:ascii="Times New Roman" w:hAnsi="Times New Roman" w:cs="Times New Roman"/>
        </w:rPr>
        <w:t>in order to</w:t>
      </w:r>
      <w:proofErr w:type="gramEnd"/>
      <w:r w:rsidRPr="000D668A">
        <w:rPr>
          <w:rFonts w:ascii="Times New Roman" w:hAnsi="Times New Roman" w:cs="Times New Roman"/>
        </w:rPr>
        <w:t xml:space="preserve"> account for annual variations. </w:t>
      </w:r>
      <w:r>
        <w:rPr>
          <w:rFonts w:ascii="Times New Roman" w:hAnsi="Times New Roman" w:cs="Times New Roman"/>
        </w:rPr>
        <w:t>Average annual revenues</w:t>
      </w:r>
      <w:r w:rsidRPr="000D668A">
        <w:rPr>
          <w:rFonts w:ascii="Times New Roman" w:hAnsi="Times New Roman" w:cs="Times New Roman"/>
        </w:rPr>
        <w:t xml:space="preserve"> ranged from $64,355 (Maine) to $1.1 million (California). A total of 13 state press associations reported no revenue to the IRS (Hawaii, Utah, Washington, Louisiana, Oregon, Connecticut, Idaho, New Hampshire, Rhode Island, Minnesota, Alaska, Vermont</w:t>
      </w:r>
      <w:proofErr w:type="gramStart"/>
      <w:r w:rsidRPr="000D668A">
        <w:rPr>
          <w:rFonts w:ascii="Times New Roman" w:hAnsi="Times New Roman" w:cs="Times New Roman"/>
        </w:rPr>
        <w:t>, Wyoming</w:t>
      </w:r>
      <w:proofErr w:type="gramEnd"/>
      <w:r w:rsidRPr="000D668A">
        <w:rPr>
          <w:rFonts w:ascii="Times New Roman" w:hAnsi="Times New Roman" w:cs="Times New Roman"/>
        </w:rPr>
        <w:t xml:space="preserve">). </w:t>
      </w:r>
      <w:r>
        <w:rPr>
          <w:rFonts w:ascii="Times New Roman" w:hAnsi="Times New Roman" w:cs="Times New Roman"/>
        </w:rPr>
        <w:t>We then calculated an annual revenue per 100 people to account for varying state populations.</w:t>
      </w:r>
    </w:p>
    <w:p w14:paraId="003EF7A5" w14:textId="77777777" w:rsidR="00F9003C" w:rsidRPr="000D668A" w:rsidRDefault="00F9003C" w:rsidP="00F9003C">
      <w:pPr>
        <w:pStyle w:val="NoSpacing"/>
        <w:rPr>
          <w:rFonts w:ascii="Times New Roman" w:hAnsi="Times New Roman" w:cs="Times New Roman"/>
          <w:b/>
          <w:bCs/>
        </w:rPr>
      </w:pPr>
      <w:r w:rsidRPr="000D668A">
        <w:rPr>
          <w:rFonts w:ascii="Times New Roman" w:hAnsi="Times New Roman" w:cs="Times New Roman"/>
          <w:b/>
          <w:bCs/>
        </w:rPr>
        <w:t>Demographics</w:t>
      </w:r>
    </w:p>
    <w:p w14:paraId="0AAF25A6" w14:textId="77777777" w:rsidR="00F9003C" w:rsidRPr="000D668A" w:rsidRDefault="00F9003C" w:rsidP="00F9003C">
      <w:pPr>
        <w:pStyle w:val="NoSpacing"/>
        <w:rPr>
          <w:rFonts w:ascii="Times New Roman" w:hAnsi="Times New Roman" w:cs="Times New Roman"/>
        </w:rPr>
      </w:pPr>
      <w:r w:rsidRPr="000D668A">
        <w:rPr>
          <w:rFonts w:ascii="Times New Roman" w:hAnsi="Times New Roman" w:cs="Times New Roman"/>
        </w:rPr>
        <w:tab/>
        <w:t xml:space="preserve">Demographic variables were collected at the state level to </w:t>
      </w:r>
      <w:proofErr w:type="gramStart"/>
      <w:r w:rsidRPr="000D668A">
        <w:rPr>
          <w:rFonts w:ascii="Times New Roman" w:hAnsi="Times New Roman" w:cs="Times New Roman"/>
        </w:rPr>
        <w:t>control for</w:t>
      </w:r>
      <w:proofErr w:type="gramEnd"/>
      <w:r w:rsidRPr="000D668A">
        <w:rPr>
          <w:rFonts w:ascii="Times New Roman" w:hAnsi="Times New Roman" w:cs="Times New Roman"/>
        </w:rPr>
        <w:t xml:space="preserve"> education, poverty, political ideology, and other factors. They included:</w:t>
      </w:r>
    </w:p>
    <w:p w14:paraId="7C440753" w14:textId="77777777" w:rsidR="00F9003C" w:rsidRPr="000D668A"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t>Population. U.S. Census estimate of state populations for 2023.</w:t>
      </w:r>
    </w:p>
    <w:p w14:paraId="58DA084F" w14:textId="77777777" w:rsidR="00F9003C" w:rsidRPr="000D668A"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t xml:space="preserve">Income. Median household income by state for 2022, according to the U.S. Census (2023) American Community Survey. </w:t>
      </w:r>
    </w:p>
    <w:p w14:paraId="3F7D917F" w14:textId="77777777" w:rsidR="00F9003C" w:rsidRPr="000D668A"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t>Education. U.S. Census educational attainment for 2022, bachelor’s degree or higher.</w:t>
      </w:r>
    </w:p>
    <w:p w14:paraId="4F4383F6" w14:textId="77777777" w:rsidR="00F9003C" w:rsidRPr="000D668A"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t xml:space="preserve">Race. </w:t>
      </w:r>
      <w:bookmarkStart w:id="1" w:name="_Hlk165267328"/>
      <w:r w:rsidRPr="000D668A">
        <w:rPr>
          <w:rFonts w:ascii="Times New Roman" w:hAnsi="Times New Roman" w:cs="Times New Roman"/>
        </w:rPr>
        <w:t>U.S. Census 2022 for non-Latino white.</w:t>
      </w:r>
      <w:bookmarkEnd w:id="1"/>
    </w:p>
    <w:p w14:paraId="6C2A5180" w14:textId="77777777" w:rsidR="00F9003C" w:rsidRPr="000D668A"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t xml:space="preserve">Conservatism. </w:t>
      </w:r>
      <w:bookmarkStart w:id="2" w:name="_Hlk165267228"/>
      <w:r w:rsidRPr="000D668A">
        <w:rPr>
          <w:rFonts w:ascii="Times New Roman" w:hAnsi="Times New Roman" w:cs="Times New Roman"/>
        </w:rPr>
        <w:t>Percentage of residents who say they are conservative, according to a Gallup 2019 poll.</w:t>
      </w:r>
      <w:bookmarkEnd w:id="2"/>
    </w:p>
    <w:p w14:paraId="2E85933D" w14:textId="77777777" w:rsidR="00F9003C" w:rsidRPr="000D668A"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lastRenderedPageBreak/>
        <w:t>Religiosity. Percent of residents who say they are very religious, Pew Research Center, 2016.</w:t>
      </w:r>
    </w:p>
    <w:p w14:paraId="556E48D3" w14:textId="77777777" w:rsidR="00F9003C" w:rsidRDefault="00F9003C" w:rsidP="00F9003C">
      <w:pPr>
        <w:pStyle w:val="NoSpacing"/>
        <w:numPr>
          <w:ilvl w:val="0"/>
          <w:numId w:val="3"/>
        </w:numPr>
        <w:rPr>
          <w:rFonts w:ascii="Times New Roman" w:hAnsi="Times New Roman" w:cs="Times New Roman"/>
        </w:rPr>
      </w:pPr>
      <w:r w:rsidRPr="000D668A">
        <w:rPr>
          <w:rFonts w:ascii="Times New Roman" w:hAnsi="Times New Roman" w:cs="Times New Roman"/>
        </w:rPr>
        <w:t xml:space="preserve">Deep South: </w:t>
      </w:r>
      <w:bookmarkStart w:id="3" w:name="_Hlk165267341"/>
      <w:r w:rsidRPr="000D668A">
        <w:rPr>
          <w:rFonts w:ascii="Times New Roman" w:hAnsi="Times New Roman" w:cs="Times New Roman"/>
        </w:rPr>
        <w:t>A binary option as to whether the state is in the Deep South. This is defined as states located in the East South Central and West South Central divisions, as designated by the U.S. Census. These eight states are: Alabama, Arkansas, Kentucky, Louisiana, Mississippi, Oklahoma, Tennessee, and Texas.</w:t>
      </w:r>
      <w:bookmarkEnd w:id="3"/>
    </w:p>
    <w:p w14:paraId="5D0A8520" w14:textId="77777777" w:rsidR="00F9003C" w:rsidRDefault="00F9003C" w:rsidP="00987848">
      <w:pPr>
        <w:pStyle w:val="NoSpacing"/>
      </w:pPr>
    </w:p>
    <w:sectPr w:rsidR="00F90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260"/>
    <w:multiLevelType w:val="hybridMultilevel"/>
    <w:tmpl w:val="BC5A3F06"/>
    <w:lvl w:ilvl="0" w:tplc="5D9A363A">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43CB0"/>
    <w:multiLevelType w:val="hybridMultilevel"/>
    <w:tmpl w:val="E63C308C"/>
    <w:lvl w:ilvl="0" w:tplc="990869D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607A69"/>
    <w:multiLevelType w:val="hybridMultilevel"/>
    <w:tmpl w:val="EDA2DE56"/>
    <w:lvl w:ilvl="0" w:tplc="990869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133260">
    <w:abstractNumId w:val="2"/>
  </w:num>
  <w:num w:numId="2" w16cid:durableId="678700601">
    <w:abstractNumId w:val="1"/>
  </w:num>
  <w:num w:numId="3" w16cid:durableId="201950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0F"/>
    <w:rsid w:val="00290F72"/>
    <w:rsid w:val="00320A36"/>
    <w:rsid w:val="00371F7A"/>
    <w:rsid w:val="004A10F4"/>
    <w:rsid w:val="00572E6A"/>
    <w:rsid w:val="00613816"/>
    <w:rsid w:val="006E5CFC"/>
    <w:rsid w:val="00700D58"/>
    <w:rsid w:val="00713BC9"/>
    <w:rsid w:val="00947EA7"/>
    <w:rsid w:val="00987848"/>
    <w:rsid w:val="00A20B5B"/>
    <w:rsid w:val="00A46B4B"/>
    <w:rsid w:val="00A53ED5"/>
    <w:rsid w:val="00AD676C"/>
    <w:rsid w:val="00B74F0F"/>
    <w:rsid w:val="00E70682"/>
    <w:rsid w:val="00F9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EB6D"/>
  <w15:chartTrackingRefBased/>
  <w15:docId w15:val="{9CD119DF-254E-48C5-9C6B-3AC5B9AA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F0F"/>
    <w:rPr>
      <w:rFonts w:eastAsiaTheme="majorEastAsia" w:cstheme="majorBidi"/>
      <w:color w:val="272727" w:themeColor="text1" w:themeTint="D8"/>
    </w:rPr>
  </w:style>
  <w:style w:type="paragraph" w:styleId="Title">
    <w:name w:val="Title"/>
    <w:basedOn w:val="Normal"/>
    <w:next w:val="Normal"/>
    <w:link w:val="TitleChar"/>
    <w:uiPriority w:val="10"/>
    <w:qFormat/>
    <w:rsid w:val="00B74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F0F"/>
    <w:pPr>
      <w:spacing w:before="160"/>
      <w:jc w:val="center"/>
    </w:pPr>
    <w:rPr>
      <w:i/>
      <w:iCs/>
      <w:color w:val="404040" w:themeColor="text1" w:themeTint="BF"/>
    </w:rPr>
  </w:style>
  <w:style w:type="character" w:customStyle="1" w:styleId="QuoteChar">
    <w:name w:val="Quote Char"/>
    <w:basedOn w:val="DefaultParagraphFont"/>
    <w:link w:val="Quote"/>
    <w:uiPriority w:val="29"/>
    <w:rsid w:val="00B74F0F"/>
    <w:rPr>
      <w:i/>
      <w:iCs/>
      <w:color w:val="404040" w:themeColor="text1" w:themeTint="BF"/>
    </w:rPr>
  </w:style>
  <w:style w:type="paragraph" w:styleId="ListParagraph">
    <w:name w:val="List Paragraph"/>
    <w:basedOn w:val="Normal"/>
    <w:uiPriority w:val="34"/>
    <w:qFormat/>
    <w:rsid w:val="00B74F0F"/>
    <w:pPr>
      <w:ind w:left="720"/>
      <w:contextualSpacing/>
    </w:pPr>
  </w:style>
  <w:style w:type="character" w:styleId="IntenseEmphasis">
    <w:name w:val="Intense Emphasis"/>
    <w:basedOn w:val="DefaultParagraphFont"/>
    <w:uiPriority w:val="21"/>
    <w:qFormat/>
    <w:rsid w:val="00B74F0F"/>
    <w:rPr>
      <w:i/>
      <w:iCs/>
      <w:color w:val="0F4761" w:themeColor="accent1" w:themeShade="BF"/>
    </w:rPr>
  </w:style>
  <w:style w:type="paragraph" w:styleId="IntenseQuote">
    <w:name w:val="Intense Quote"/>
    <w:basedOn w:val="Normal"/>
    <w:next w:val="Normal"/>
    <w:link w:val="IntenseQuoteChar"/>
    <w:uiPriority w:val="30"/>
    <w:qFormat/>
    <w:rsid w:val="00B74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F0F"/>
    <w:rPr>
      <w:i/>
      <w:iCs/>
      <w:color w:val="0F4761" w:themeColor="accent1" w:themeShade="BF"/>
    </w:rPr>
  </w:style>
  <w:style w:type="character" w:styleId="IntenseReference">
    <w:name w:val="Intense Reference"/>
    <w:basedOn w:val="DefaultParagraphFont"/>
    <w:uiPriority w:val="32"/>
    <w:qFormat/>
    <w:rsid w:val="00B74F0F"/>
    <w:rPr>
      <w:b/>
      <w:bCs/>
      <w:smallCaps/>
      <w:color w:val="0F4761" w:themeColor="accent1" w:themeShade="BF"/>
      <w:spacing w:val="5"/>
    </w:rPr>
  </w:style>
  <w:style w:type="paragraph" w:styleId="NoSpacing">
    <w:name w:val="No Spacing"/>
    <w:uiPriority w:val="1"/>
    <w:qFormat/>
    <w:rsid w:val="00987848"/>
    <w:pPr>
      <w:spacing w:after="0" w:line="240" w:lineRule="auto"/>
    </w:pPr>
  </w:style>
  <w:style w:type="character" w:styleId="Hyperlink">
    <w:name w:val="Hyperlink"/>
    <w:basedOn w:val="DefaultParagraphFont"/>
    <w:uiPriority w:val="99"/>
    <w:unhideWhenUsed/>
    <w:rsid w:val="00F900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irs.gov/app/eos/" TargetMode="External"/><Relationship Id="rId3" Type="http://schemas.openxmlformats.org/officeDocument/2006/relationships/settings" Target="settings.xml"/><Relationship Id="rId7" Type="http://schemas.openxmlformats.org/officeDocument/2006/relationships/hyperlink" Target="https://projects.propublica.org/nonpro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mmembers.com/" TargetMode="External"/><Relationship Id="rId5" Type="http://schemas.openxmlformats.org/officeDocument/2006/relationships/hyperlink" Target="https://splc.org/letter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1610</Words>
  <Characters>9178</Characters>
  <Application>Microsoft Office Word</Application>
  <DocSecurity>0</DocSecurity>
  <Lines>76</Lines>
  <Paragraphs>21</Paragraphs>
  <ScaleCrop>false</ScaleCrop>
  <Company>College of Journalism and Communication</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Cuillier, David</dc:creator>
  <cp:keywords/>
  <dc:description/>
  <cp:lastModifiedBy>Cuillier, David</cp:lastModifiedBy>
  <cp:revision>9</cp:revision>
  <dcterms:created xsi:type="dcterms:W3CDTF">2025-08-28T15:19:00Z</dcterms:created>
  <dcterms:modified xsi:type="dcterms:W3CDTF">2025-08-28T15:26:00Z</dcterms:modified>
</cp:coreProperties>
</file>